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В форму налоговой декларации по налогу на прибыль организаций внесены изменения, некоторые из которых необходимо учесть при составлении отчетности за 2025 год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Приказ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ФНС России от 03.10.2025 N ЕД-7-3/855@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приложения к приказу Федеральной налоговой службы от 02.10.2024 N ЕД-7-3/830@"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Зарегистрировано в Минюсте России 31.10.2025 N 84026.</w:t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b w:val="0"/>
          <w:sz w:val="28"/>
        </w:rPr>
        <w:t>Приказом, в частности:</w:t>
      </w:r>
    </w:p>
    <w:p w14:paraId="06000000">
      <w:pPr>
        <w:numPr>
          <w:numId w:val="1"/>
        </w:numPr>
        <w:spacing w:after="0" w:before="168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скорректированы штрих-коды в приложении N 1 "Налоговая декларация по налогу на прибыль организаций";</w:t>
      </w:r>
    </w:p>
    <w:p w14:paraId="07000000">
      <w:pPr>
        <w:numPr>
          <w:numId w:val="2"/>
        </w:numPr>
        <w:spacing w:after="0" w:before="168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новой редакции изложены: в листе 02 "Расчет суммы налога" страницы со штрих-кодом "00218054" и со штрих-кодом "00218061"; приложение N 4 к Листу 02 "Расчет суммы убытка, уменьшающего налоговую базу"; Лист 08 "Доходы и расходы налогоплательщика, осуществившего самостоятельную (симметричную, обратную) корректировку...";</w:t>
      </w:r>
    </w:p>
    <w:p w14:paraId="08000000">
      <w:pPr>
        <w:numPr>
          <w:numId w:val="3"/>
        </w:numPr>
        <w:spacing w:after="0" w:before="168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декларация дополнена листом 05.1 "Операции с цифровой валютой".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Приказ вступает в силу по истечении двух месяцев со дня его официального опубликования, но не ранее 01.01.2026, и применяется начиная с представления отчетности за налоговый период 2025 года, за исключением пункта 4 приложения N 6 к приказу, который вступает в силу с 26.03.2026 и применяется с отчетности за первый отчетный период 2026 года.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before="0"/>
        <w:ind w:firstLine="0" w:left="0" w:right="0"/>
        <w:jc w:val="both"/>
        <w:rPr>
          <w:b w:val="0"/>
        </w:rPr>
      </w:pPr>
    </w:p>
    <w:p w14:paraId="0C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2025-11-11T15:02:44Z</dcterms:modified>
</cp:coreProperties>
</file>